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B95" w:rsidRDefault="00FE5B95" w:rsidP="00FE5B95">
      <w:pPr>
        <w:spacing w:after="0" w:line="240" w:lineRule="auto"/>
        <w:jc w:val="center"/>
        <w:rPr>
          <w:b/>
          <w:sz w:val="28"/>
          <w:szCs w:val="28"/>
        </w:rPr>
      </w:pPr>
      <w:r w:rsidRPr="00FE5D71">
        <w:rPr>
          <w:b/>
          <w:sz w:val="28"/>
          <w:szCs w:val="28"/>
        </w:rPr>
        <w:t>Immigration: Melting Pot or Mosaic</w:t>
      </w:r>
    </w:p>
    <w:p w:rsidR="00FE5B95" w:rsidRDefault="00FE5B95" w:rsidP="00FE5B95">
      <w:pPr>
        <w:spacing w:after="0" w:line="240" w:lineRule="auto"/>
        <w:rPr>
          <w:sz w:val="28"/>
          <w:szCs w:val="28"/>
          <w:u w:val="single"/>
        </w:rPr>
      </w:pPr>
      <w:proofErr w:type="spellStart"/>
      <w:r w:rsidRPr="00FE5D71">
        <w:rPr>
          <w:sz w:val="28"/>
          <w:szCs w:val="28"/>
          <w:u w:val="single"/>
        </w:rPr>
        <w:t>Vocab</w:t>
      </w:r>
      <w:proofErr w:type="spellEnd"/>
      <w:r w:rsidRPr="00FE5D71">
        <w:rPr>
          <w:sz w:val="28"/>
          <w:szCs w:val="28"/>
          <w:u w:val="single"/>
        </w:rPr>
        <w:t>:</w:t>
      </w:r>
    </w:p>
    <w:p w:rsidR="00FE5B95" w:rsidRDefault="00FE5B95" w:rsidP="00FE5B95">
      <w:pPr>
        <w:spacing w:after="0" w:line="240" w:lineRule="auto"/>
        <w:rPr>
          <w:sz w:val="24"/>
          <w:szCs w:val="24"/>
        </w:rPr>
      </w:pPr>
      <w:r w:rsidRPr="00FE5D71">
        <w:rPr>
          <w:b/>
          <w:sz w:val="24"/>
          <w:szCs w:val="24"/>
        </w:rPr>
        <w:t>Assimilate</w:t>
      </w:r>
      <w:r>
        <w:rPr>
          <w:sz w:val="24"/>
          <w:szCs w:val="24"/>
        </w:rPr>
        <w:t>- to abandon one’s culture and adopt the majority culture</w:t>
      </w:r>
    </w:p>
    <w:p w:rsidR="00FE5B95" w:rsidRDefault="00FE5B95" w:rsidP="00FE5B95">
      <w:pPr>
        <w:spacing w:after="0" w:line="240" w:lineRule="auto"/>
        <w:rPr>
          <w:sz w:val="24"/>
          <w:szCs w:val="24"/>
        </w:rPr>
      </w:pPr>
      <w:r w:rsidRPr="00FE5D71">
        <w:rPr>
          <w:b/>
          <w:sz w:val="24"/>
          <w:szCs w:val="24"/>
        </w:rPr>
        <w:t>Anglo-conformity</w:t>
      </w:r>
      <w:r>
        <w:rPr>
          <w:sz w:val="24"/>
          <w:szCs w:val="24"/>
        </w:rPr>
        <w:t>- adopting the values of English-Canadian society</w:t>
      </w:r>
    </w:p>
    <w:p w:rsidR="00FE5B95" w:rsidRDefault="00FE5B95" w:rsidP="00FE5B95">
      <w:pPr>
        <w:spacing w:after="0" w:line="240" w:lineRule="auto"/>
        <w:rPr>
          <w:sz w:val="24"/>
          <w:szCs w:val="24"/>
        </w:rPr>
      </w:pPr>
      <w:r w:rsidRPr="00FE5D71">
        <w:rPr>
          <w:b/>
          <w:sz w:val="24"/>
          <w:szCs w:val="24"/>
        </w:rPr>
        <w:t>Melting pot</w:t>
      </w:r>
      <w:r>
        <w:rPr>
          <w:sz w:val="24"/>
          <w:szCs w:val="24"/>
        </w:rPr>
        <w:t>- immigrants blend in and form a unique identity (the American model)</w:t>
      </w:r>
    </w:p>
    <w:p w:rsidR="00FE5B95" w:rsidRDefault="00FE5B95" w:rsidP="00FE5B95">
      <w:pPr>
        <w:spacing w:after="0" w:line="240" w:lineRule="auto"/>
        <w:rPr>
          <w:sz w:val="24"/>
          <w:szCs w:val="24"/>
        </w:rPr>
      </w:pPr>
      <w:r w:rsidRPr="00FE5D71">
        <w:rPr>
          <w:b/>
          <w:sz w:val="24"/>
          <w:szCs w:val="24"/>
        </w:rPr>
        <w:t>Cultural mosaic</w:t>
      </w:r>
      <w:r>
        <w:rPr>
          <w:sz w:val="24"/>
          <w:szCs w:val="24"/>
        </w:rPr>
        <w:t>- a community of different cultural identities, multicultural</w:t>
      </w:r>
    </w:p>
    <w:p w:rsidR="00FE5B95" w:rsidRDefault="00FE5B95" w:rsidP="00FE5B95">
      <w:pPr>
        <w:spacing w:after="0" w:line="240" w:lineRule="auto"/>
        <w:rPr>
          <w:sz w:val="24"/>
          <w:szCs w:val="24"/>
        </w:rPr>
      </w:pPr>
      <w:r w:rsidRPr="00FE5D71">
        <w:rPr>
          <w:b/>
          <w:sz w:val="24"/>
          <w:szCs w:val="24"/>
        </w:rPr>
        <w:t>Push factors</w:t>
      </w:r>
      <w:r>
        <w:rPr>
          <w:sz w:val="24"/>
          <w:szCs w:val="24"/>
        </w:rPr>
        <w:t>- factors pushing immigrants away from their homelands</w:t>
      </w:r>
    </w:p>
    <w:p w:rsidR="00FE5B95" w:rsidRDefault="00FE5B95" w:rsidP="00FE5B95">
      <w:pPr>
        <w:spacing w:after="0" w:line="240" w:lineRule="auto"/>
        <w:rPr>
          <w:sz w:val="24"/>
          <w:szCs w:val="24"/>
        </w:rPr>
      </w:pPr>
      <w:r w:rsidRPr="00FE5D71">
        <w:rPr>
          <w:b/>
          <w:sz w:val="24"/>
          <w:szCs w:val="24"/>
        </w:rPr>
        <w:t>Pull factors</w:t>
      </w:r>
      <w:r>
        <w:rPr>
          <w:sz w:val="24"/>
          <w:szCs w:val="24"/>
        </w:rPr>
        <w:t>- factors pulling immigrants to their new country</w:t>
      </w:r>
    </w:p>
    <w:p w:rsidR="00FE5B95" w:rsidRPr="00673497" w:rsidRDefault="00FE5B95" w:rsidP="00FE5B95">
      <w:pPr>
        <w:spacing w:after="0" w:line="240" w:lineRule="auto"/>
        <w:jc w:val="center"/>
        <w:rPr>
          <w:rFonts w:eastAsia="MS Mincho" w:hint="eastAsia"/>
          <w:b/>
          <w:sz w:val="32"/>
          <w:szCs w:val="32"/>
          <w:u w:val="single"/>
          <w:lang w:eastAsia="ja-JP"/>
        </w:rPr>
      </w:pPr>
      <w:r w:rsidRPr="00673497">
        <w:rPr>
          <w:rFonts w:eastAsia="MS Mincho" w:hint="eastAsia"/>
          <w:b/>
          <w:sz w:val="32"/>
          <w:szCs w:val="32"/>
          <w:u w:val="single"/>
          <w:lang w:eastAsia="ja-JP"/>
        </w:rPr>
        <w:t>The Last Best West</w:t>
      </w:r>
    </w:p>
    <w:p w:rsidR="00FE5B95" w:rsidRDefault="00FE5B95" w:rsidP="00FE5B95">
      <w:pPr>
        <w:spacing w:after="0" w:line="240" w:lineRule="auto"/>
        <w:jc w:val="center"/>
        <w:rPr>
          <w:rFonts w:eastAsia="MS Mincho" w:hint="eastAsia"/>
          <w:b/>
          <w:sz w:val="24"/>
          <w:szCs w:val="24"/>
          <w:u w:val="single"/>
          <w:lang w:eastAsia="ja-JP"/>
        </w:rPr>
      </w:pPr>
      <w:r>
        <w:rPr>
          <w:noProof/>
          <w:lang w:val="en-CA" w:eastAsia="ja-JP"/>
        </w:rPr>
        <w:drawing>
          <wp:inline distT="0" distB="0" distL="0" distR="0">
            <wp:extent cx="2400300" cy="15716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2400300" cy="1571625"/>
                    </a:xfrm>
                    <a:prstGeom prst="rect">
                      <a:avLst/>
                    </a:prstGeom>
                    <a:noFill/>
                    <a:ln w="9525">
                      <a:noFill/>
                      <a:miter lim="800000"/>
                      <a:headEnd/>
                      <a:tailEnd/>
                    </a:ln>
                  </pic:spPr>
                </pic:pic>
              </a:graphicData>
            </a:graphic>
          </wp:inline>
        </w:drawing>
      </w:r>
    </w:p>
    <w:p w:rsidR="00FE5B95" w:rsidRPr="00FE5B95" w:rsidRDefault="00FE5B95" w:rsidP="00FE5B95">
      <w:pPr>
        <w:spacing w:after="0" w:line="240" w:lineRule="auto"/>
        <w:jc w:val="center"/>
        <w:rPr>
          <w:rFonts w:eastAsia="MS Mincho" w:hint="eastAsia"/>
          <w:b/>
          <w:sz w:val="24"/>
          <w:szCs w:val="24"/>
          <w:lang w:eastAsia="ja-JP"/>
        </w:rPr>
      </w:pPr>
    </w:p>
    <w:p w:rsidR="00FE5B95" w:rsidRPr="00FE5B95" w:rsidRDefault="00FE5B95" w:rsidP="00FE5B95">
      <w:pPr>
        <w:pStyle w:val="ListParagraph"/>
        <w:spacing w:after="0" w:line="240" w:lineRule="auto"/>
        <w:ind w:left="0"/>
      </w:pPr>
      <w:r w:rsidRPr="00FE5B95">
        <w:t xml:space="preserve">In 1896, </w:t>
      </w:r>
      <w:hyperlink r:id="rId6" w:anchor="sifton" w:history="1">
        <w:r w:rsidRPr="00FE5B95">
          <w:rPr>
            <w:rStyle w:val="Hyperlink"/>
            <w:color w:val="auto"/>
            <w:u w:val="none"/>
          </w:rPr>
          <w:t xml:space="preserve">Sir Clifford </w:t>
        </w:r>
        <w:proofErr w:type="spellStart"/>
        <w:r w:rsidRPr="00FE5B95">
          <w:rPr>
            <w:rStyle w:val="Hyperlink"/>
            <w:color w:val="auto"/>
            <w:u w:val="none"/>
          </w:rPr>
          <w:t>Sifton</w:t>
        </w:r>
        <w:proofErr w:type="spellEnd"/>
      </w:hyperlink>
      <w:r w:rsidRPr="00FE5B95">
        <w:t xml:space="preserve"> became </w:t>
      </w:r>
      <w:proofErr w:type="spellStart"/>
      <w:r w:rsidRPr="00FE5B95">
        <w:t>Canada'a</w:t>
      </w:r>
      <w:proofErr w:type="spellEnd"/>
      <w:r w:rsidRPr="00FE5B95">
        <w:t xml:space="preserve"> new minister responsible for immigration in </w:t>
      </w:r>
      <w:hyperlink r:id="rId7" w:anchor="laurier" w:history="1">
        <w:r w:rsidRPr="00FE5B95">
          <w:rPr>
            <w:rStyle w:val="Hyperlink"/>
            <w:color w:val="auto"/>
            <w:u w:val="none"/>
          </w:rPr>
          <w:t>Sir Wilfred Laurier's</w:t>
        </w:r>
      </w:hyperlink>
      <w:r w:rsidRPr="00FE5B95">
        <w:t xml:space="preserve"> new </w:t>
      </w:r>
      <w:hyperlink r:id="rId8" w:anchor="liberal" w:history="1">
        <w:r w:rsidRPr="00FE5B95">
          <w:rPr>
            <w:rStyle w:val="Hyperlink"/>
            <w:color w:val="auto"/>
            <w:u w:val="none"/>
          </w:rPr>
          <w:t>Liberal</w:t>
        </w:r>
      </w:hyperlink>
      <w:r w:rsidRPr="00FE5B95">
        <w:t xml:space="preserve"> government. </w:t>
      </w:r>
      <w:r w:rsidRPr="00FE5B95">
        <w:rPr>
          <w:rFonts w:eastAsia="MS Mincho"/>
          <w:lang w:eastAsia="ja-JP"/>
        </w:rPr>
        <w:t xml:space="preserve"> </w:t>
      </w:r>
      <w:proofErr w:type="spellStart"/>
      <w:r w:rsidRPr="00FE5B95">
        <w:t>Sifton</w:t>
      </w:r>
      <w:proofErr w:type="spellEnd"/>
      <w:r w:rsidRPr="00FE5B95">
        <w:t xml:space="preserve"> wanted to attract immigrants to Canada </w:t>
      </w:r>
      <w:r w:rsidRPr="00FE5B95">
        <w:rPr>
          <w:rFonts w:eastAsia="MS Mincho" w:hint="eastAsia"/>
          <w:lang w:eastAsia="ja-JP"/>
        </w:rPr>
        <w:t xml:space="preserve">and he </w:t>
      </w:r>
      <w:r w:rsidRPr="00FE5B95">
        <w:t>spare</w:t>
      </w:r>
      <w:r w:rsidRPr="00FE5B95">
        <w:rPr>
          <w:rFonts w:eastAsia="MS Mincho" w:hint="eastAsia"/>
          <w:lang w:eastAsia="ja-JP"/>
        </w:rPr>
        <w:t>d</w:t>
      </w:r>
      <w:r w:rsidRPr="00FE5B95">
        <w:t xml:space="preserve"> no expense in opening up the Prairies for settlement. </w:t>
      </w:r>
      <w:proofErr w:type="spellStart"/>
      <w:r w:rsidRPr="00FE5B95">
        <w:rPr>
          <w:rFonts w:eastAsia="MS Mincho" w:hint="eastAsia"/>
          <w:lang w:eastAsia="ja-JP"/>
        </w:rPr>
        <w:t>Sifton</w:t>
      </w:r>
      <w:proofErr w:type="spellEnd"/>
      <w:r w:rsidRPr="00FE5B95">
        <w:t xml:space="preserve"> increased advertising abroad and introduced a series of reforms to the Immigration Department in order to make Canada look more attractive and affordable. Thanks to these measures and an economy that was generally booming, more than three million people came to Canada between 1896 and 1914. </w:t>
      </w:r>
    </w:p>
    <w:p w:rsidR="00FE5B95" w:rsidRPr="00FE5B95" w:rsidRDefault="00FE5B95" w:rsidP="00FE5B95">
      <w:pPr>
        <w:pStyle w:val="NormalWeb"/>
        <w:rPr>
          <w:rFonts w:ascii="Calibri" w:hAnsi="Calibri"/>
          <w:sz w:val="22"/>
          <w:szCs w:val="22"/>
        </w:rPr>
      </w:pPr>
      <w:r w:rsidRPr="00FE5B95">
        <w:rPr>
          <w:rFonts w:ascii="Calibri" w:hAnsi="Calibri"/>
          <w:sz w:val="22"/>
          <w:szCs w:val="22"/>
        </w:rPr>
        <w:t xml:space="preserve">However, immigration would gradually become more selective and focused on either the types of skills immigrants brought to Canada or their ethnic backgrounds. </w:t>
      </w:r>
      <w:proofErr w:type="spellStart"/>
      <w:r w:rsidRPr="00FE5B95">
        <w:rPr>
          <w:rFonts w:ascii="Calibri" w:eastAsia="MS Mincho" w:hAnsi="Calibri" w:hint="eastAsia"/>
          <w:sz w:val="22"/>
          <w:szCs w:val="22"/>
        </w:rPr>
        <w:t>Sifton</w:t>
      </w:r>
      <w:proofErr w:type="spellEnd"/>
      <w:r w:rsidRPr="00FE5B95">
        <w:rPr>
          <w:rFonts w:ascii="Calibri" w:eastAsia="MS Mincho" w:hAnsi="Calibri" w:hint="eastAsia"/>
          <w:sz w:val="22"/>
          <w:szCs w:val="22"/>
        </w:rPr>
        <w:t xml:space="preserve"> preferred to fill the </w:t>
      </w:r>
      <w:r w:rsidRPr="00FE5B95">
        <w:rPr>
          <w:rFonts w:ascii="Calibri" w:hAnsi="Calibri"/>
          <w:sz w:val="22"/>
          <w:szCs w:val="22"/>
        </w:rPr>
        <w:t xml:space="preserve">Prairies </w:t>
      </w:r>
      <w:r w:rsidRPr="00FE5B95">
        <w:rPr>
          <w:rFonts w:ascii="Calibri" w:eastAsia="MS Mincho" w:hAnsi="Calibri" w:hint="eastAsia"/>
          <w:sz w:val="22"/>
          <w:szCs w:val="22"/>
        </w:rPr>
        <w:t xml:space="preserve">with immigrants </w:t>
      </w:r>
      <w:r w:rsidRPr="00FE5B95">
        <w:rPr>
          <w:rFonts w:ascii="Calibri" w:hAnsi="Calibri"/>
          <w:sz w:val="22"/>
          <w:szCs w:val="22"/>
        </w:rPr>
        <w:t xml:space="preserve">from Britain, other western European countries and the United States. </w:t>
      </w:r>
      <w:r w:rsidRPr="00FE5B95">
        <w:rPr>
          <w:rFonts w:ascii="Calibri" w:eastAsia="MS Mincho" w:hAnsi="Calibri" w:hint="eastAsia"/>
          <w:sz w:val="22"/>
          <w:szCs w:val="22"/>
        </w:rPr>
        <w:t xml:space="preserve"> </w:t>
      </w:r>
      <w:r w:rsidRPr="00FE5B95">
        <w:rPr>
          <w:rFonts w:ascii="Calibri" w:hAnsi="Calibri"/>
          <w:sz w:val="22"/>
          <w:szCs w:val="22"/>
        </w:rPr>
        <w:t xml:space="preserve">It was felt that people from these areas were best suited to agricultural life on the Prairies. </w:t>
      </w:r>
    </w:p>
    <w:p w:rsidR="00FE5B95" w:rsidRPr="00FE5B95" w:rsidRDefault="00FE5B95" w:rsidP="00FE5B95">
      <w:pPr>
        <w:pStyle w:val="NormalWeb"/>
        <w:rPr>
          <w:rFonts w:ascii="Calibri" w:hAnsi="Calibri"/>
          <w:sz w:val="22"/>
          <w:szCs w:val="22"/>
        </w:rPr>
      </w:pPr>
      <w:proofErr w:type="spellStart"/>
      <w:r w:rsidRPr="00FE5B95">
        <w:rPr>
          <w:rFonts w:ascii="Calibri" w:hAnsi="Calibri"/>
          <w:sz w:val="22"/>
          <w:szCs w:val="22"/>
        </w:rPr>
        <w:t>Sifton</w:t>
      </w:r>
      <w:proofErr w:type="spellEnd"/>
      <w:r w:rsidRPr="00FE5B95">
        <w:rPr>
          <w:rFonts w:ascii="Calibri" w:hAnsi="Calibri"/>
          <w:sz w:val="22"/>
          <w:szCs w:val="22"/>
        </w:rPr>
        <w:t xml:space="preserve"> increased immigration by:</w:t>
      </w:r>
    </w:p>
    <w:p w:rsidR="00FE5B95" w:rsidRPr="00FE5B95" w:rsidRDefault="00FE5B95" w:rsidP="00FE5B95">
      <w:pPr>
        <w:pStyle w:val="NormalWeb"/>
        <w:numPr>
          <w:ilvl w:val="0"/>
          <w:numId w:val="1"/>
        </w:numPr>
        <w:rPr>
          <w:rFonts w:ascii="Calibri" w:hAnsi="Calibri"/>
          <w:sz w:val="22"/>
          <w:szCs w:val="22"/>
        </w:rPr>
      </w:pPr>
      <w:r w:rsidRPr="00FE5B95">
        <w:rPr>
          <w:rFonts w:ascii="Calibri" w:eastAsia="MS Mincho" w:hAnsi="Calibri" w:hint="eastAsia"/>
          <w:sz w:val="22"/>
          <w:szCs w:val="22"/>
        </w:rPr>
        <w:t>Creating</w:t>
      </w:r>
      <w:r w:rsidRPr="00FE5B95">
        <w:rPr>
          <w:rFonts w:ascii="Calibri" w:hAnsi="Calibri"/>
          <w:sz w:val="22"/>
          <w:szCs w:val="22"/>
        </w:rPr>
        <w:t xml:space="preserve"> an extensive promotional campaign, featuring the slogan "Canada: The Last Best West." (This was a reference to the fact that American land on the Plains was becoming less available and more expensive to settlers by this period.)</w:t>
      </w:r>
    </w:p>
    <w:p w:rsidR="00FE5B95" w:rsidRPr="00FE5B95" w:rsidRDefault="00FE5B95" w:rsidP="00FE5B95">
      <w:pPr>
        <w:pStyle w:val="NormalWeb"/>
        <w:numPr>
          <w:ilvl w:val="0"/>
          <w:numId w:val="1"/>
        </w:numPr>
        <w:rPr>
          <w:rFonts w:ascii="Calibri" w:hAnsi="Calibri"/>
          <w:sz w:val="22"/>
          <w:szCs w:val="22"/>
        </w:rPr>
      </w:pPr>
      <w:r w:rsidRPr="00FE5B95">
        <w:rPr>
          <w:rFonts w:ascii="Calibri" w:hAnsi="Calibri"/>
          <w:sz w:val="22"/>
          <w:szCs w:val="22"/>
        </w:rPr>
        <w:t>reorganizing the immigration department to give it more power in setting immigration policy;</w:t>
      </w:r>
    </w:p>
    <w:p w:rsidR="00FE5B95" w:rsidRPr="00FE5B95" w:rsidRDefault="00FE5B95" w:rsidP="00FE5B95">
      <w:pPr>
        <w:pStyle w:val="NormalWeb"/>
        <w:numPr>
          <w:ilvl w:val="0"/>
          <w:numId w:val="1"/>
        </w:numPr>
        <w:rPr>
          <w:rFonts w:ascii="Calibri" w:hAnsi="Calibri"/>
          <w:sz w:val="22"/>
          <w:szCs w:val="22"/>
        </w:rPr>
      </w:pPr>
      <w:r w:rsidRPr="00FE5B95">
        <w:rPr>
          <w:rFonts w:ascii="Calibri" w:hAnsi="Calibri"/>
          <w:sz w:val="22"/>
          <w:szCs w:val="22"/>
        </w:rPr>
        <w:t xml:space="preserve">increasing the number of immigration agents and support personnel aboard; </w:t>
      </w:r>
    </w:p>
    <w:p w:rsidR="00FE5B95" w:rsidRPr="00FE5B95" w:rsidRDefault="00FE5B95" w:rsidP="00FE5B95">
      <w:pPr>
        <w:pStyle w:val="NormalWeb"/>
        <w:numPr>
          <w:ilvl w:val="0"/>
          <w:numId w:val="1"/>
        </w:numPr>
        <w:rPr>
          <w:rFonts w:ascii="Calibri" w:hAnsi="Calibri"/>
          <w:sz w:val="22"/>
          <w:szCs w:val="22"/>
        </w:rPr>
      </w:pPr>
      <w:r w:rsidRPr="00FE5B95">
        <w:rPr>
          <w:rFonts w:ascii="Calibri" w:hAnsi="Calibri"/>
          <w:sz w:val="22"/>
          <w:szCs w:val="22"/>
        </w:rPr>
        <w:t xml:space="preserve">freeing up unused land owned by the </w:t>
      </w:r>
      <w:hyperlink r:id="rId9" w:anchor="hbc" w:history="1">
        <w:r w:rsidRPr="00FE5B95">
          <w:rPr>
            <w:rStyle w:val="Hyperlink"/>
            <w:rFonts w:ascii="Calibri" w:hAnsi="Calibri"/>
            <w:color w:val="auto"/>
            <w:sz w:val="22"/>
            <w:szCs w:val="22"/>
            <w:u w:val="none"/>
          </w:rPr>
          <w:t>Hudson's Bay Company</w:t>
        </w:r>
      </w:hyperlink>
      <w:r w:rsidRPr="00FE5B95">
        <w:rPr>
          <w:rFonts w:ascii="Calibri" w:hAnsi="Calibri"/>
          <w:sz w:val="22"/>
          <w:szCs w:val="22"/>
        </w:rPr>
        <w:t xml:space="preserve"> (HBC) and the </w:t>
      </w:r>
      <w:hyperlink r:id="rId10" w:anchor="cpr" w:history="1">
        <w:r w:rsidRPr="00FE5B95">
          <w:rPr>
            <w:rStyle w:val="Hyperlink"/>
            <w:rFonts w:ascii="Calibri" w:hAnsi="Calibri"/>
            <w:color w:val="auto"/>
            <w:sz w:val="22"/>
            <w:szCs w:val="22"/>
            <w:u w:val="none"/>
          </w:rPr>
          <w:t>Canadian Pacific Railway</w:t>
        </w:r>
      </w:hyperlink>
      <w:r w:rsidRPr="00FE5B95">
        <w:rPr>
          <w:rFonts w:ascii="Calibri" w:hAnsi="Calibri"/>
          <w:sz w:val="22"/>
          <w:szCs w:val="22"/>
        </w:rPr>
        <w:t xml:space="preserve"> (CPR);</w:t>
      </w:r>
    </w:p>
    <w:p w:rsidR="00FE5B95" w:rsidRPr="00FE5B95" w:rsidRDefault="00FE5B95" w:rsidP="00FE5B95">
      <w:pPr>
        <w:pStyle w:val="NormalWeb"/>
        <w:numPr>
          <w:ilvl w:val="0"/>
          <w:numId w:val="1"/>
        </w:numPr>
        <w:rPr>
          <w:rFonts w:ascii="Calibri" w:hAnsi="Calibri"/>
          <w:sz w:val="22"/>
          <w:szCs w:val="22"/>
        </w:rPr>
      </w:pPr>
      <w:proofErr w:type="gramStart"/>
      <w:r w:rsidRPr="00FE5B95">
        <w:rPr>
          <w:rFonts w:ascii="Calibri" w:hAnsi="Calibri"/>
          <w:sz w:val="22"/>
          <w:szCs w:val="22"/>
        </w:rPr>
        <w:t>offering</w:t>
      </w:r>
      <w:proofErr w:type="gramEnd"/>
      <w:r w:rsidRPr="00FE5B95">
        <w:rPr>
          <w:rFonts w:ascii="Calibri" w:hAnsi="Calibri"/>
          <w:sz w:val="22"/>
          <w:szCs w:val="22"/>
        </w:rPr>
        <w:t xml:space="preserve"> 160 acres of free land </w:t>
      </w:r>
      <w:r w:rsidRPr="00FE5B95">
        <w:rPr>
          <w:rFonts w:ascii="Calibri" w:eastAsia="MS Mincho" w:hAnsi="Calibri" w:hint="eastAsia"/>
          <w:sz w:val="22"/>
          <w:szCs w:val="22"/>
        </w:rPr>
        <w:t>to settlers.  (</w:t>
      </w:r>
      <w:r w:rsidRPr="00FE5B95">
        <w:rPr>
          <w:rFonts w:ascii="Calibri" w:hAnsi="Calibri"/>
          <w:sz w:val="22"/>
          <w:szCs w:val="22"/>
        </w:rPr>
        <w:t>Settlers still had to pay a land registration fee of $10 - or roughly $150 in modern-day currency</w:t>
      </w:r>
      <w:r w:rsidRPr="00FE5B95">
        <w:rPr>
          <w:rFonts w:ascii="Calibri" w:eastAsia="MS Mincho" w:hAnsi="Calibri" w:hint="eastAsia"/>
          <w:sz w:val="22"/>
          <w:szCs w:val="22"/>
        </w:rPr>
        <w:t>)</w:t>
      </w:r>
    </w:p>
    <w:p w:rsidR="00FE5B95" w:rsidRPr="00FE5B95" w:rsidRDefault="00FE5B95" w:rsidP="00FE5B95">
      <w:pPr>
        <w:pStyle w:val="NormalWeb"/>
        <w:rPr>
          <w:rFonts w:ascii="Calibri" w:hAnsi="Calibri"/>
          <w:sz w:val="22"/>
          <w:szCs w:val="22"/>
        </w:rPr>
      </w:pPr>
      <w:r w:rsidRPr="00FE5B95">
        <w:rPr>
          <w:rFonts w:ascii="Calibri" w:hAnsi="Calibri"/>
          <w:sz w:val="22"/>
          <w:szCs w:val="22"/>
        </w:rPr>
        <w:t xml:space="preserve">During Clifford </w:t>
      </w:r>
      <w:proofErr w:type="spellStart"/>
      <w:r w:rsidRPr="00FE5B95">
        <w:rPr>
          <w:rFonts w:ascii="Calibri" w:hAnsi="Calibri"/>
          <w:sz w:val="22"/>
          <w:szCs w:val="22"/>
        </w:rPr>
        <w:t>Sifton's</w:t>
      </w:r>
      <w:proofErr w:type="spellEnd"/>
      <w:r w:rsidRPr="00FE5B95">
        <w:rPr>
          <w:rFonts w:ascii="Calibri" w:hAnsi="Calibri"/>
          <w:sz w:val="22"/>
          <w:szCs w:val="22"/>
        </w:rPr>
        <w:t xml:space="preserve"> tenure as Immigration Minister between 1896 and 1905, many religious groups that practiced agriculture were attracted to Canada. These included:</w:t>
      </w:r>
    </w:p>
    <w:p w:rsidR="00FE5B95" w:rsidRPr="00FE5B95" w:rsidRDefault="00FE5B95" w:rsidP="00FE5B95">
      <w:pPr>
        <w:pStyle w:val="NormalWeb"/>
        <w:numPr>
          <w:ilvl w:val="0"/>
          <w:numId w:val="2"/>
        </w:numPr>
        <w:rPr>
          <w:rFonts w:ascii="Calibri" w:hAnsi="Calibri"/>
          <w:sz w:val="22"/>
          <w:szCs w:val="22"/>
        </w:rPr>
      </w:pPr>
      <w:hyperlink r:id="rId11" w:anchor="mennonite" w:history="1">
        <w:r w:rsidRPr="00FE5B95">
          <w:rPr>
            <w:rStyle w:val="Hyperlink"/>
            <w:rFonts w:ascii="Calibri" w:hAnsi="Calibri"/>
            <w:color w:val="auto"/>
            <w:sz w:val="22"/>
            <w:szCs w:val="22"/>
            <w:u w:val="none"/>
          </w:rPr>
          <w:t>Mennonites</w:t>
        </w:r>
      </w:hyperlink>
      <w:r w:rsidRPr="00FE5B95">
        <w:rPr>
          <w:rFonts w:ascii="Calibri" w:hAnsi="Calibri"/>
          <w:sz w:val="22"/>
          <w:szCs w:val="22"/>
        </w:rPr>
        <w:t xml:space="preserve"> from Europe</w:t>
      </w:r>
    </w:p>
    <w:p w:rsidR="00FE5B95" w:rsidRPr="00FE5B95" w:rsidRDefault="00FE5B95" w:rsidP="00FE5B95">
      <w:pPr>
        <w:pStyle w:val="NormalWeb"/>
        <w:numPr>
          <w:ilvl w:val="0"/>
          <w:numId w:val="2"/>
        </w:numPr>
        <w:rPr>
          <w:rFonts w:ascii="Calibri" w:hAnsi="Calibri"/>
          <w:sz w:val="22"/>
          <w:szCs w:val="22"/>
        </w:rPr>
      </w:pPr>
      <w:hyperlink r:id="rId12" w:anchor="doukhobor" w:history="1">
        <w:proofErr w:type="spellStart"/>
        <w:r w:rsidRPr="00FE5B95">
          <w:rPr>
            <w:rStyle w:val="Hyperlink"/>
            <w:rFonts w:ascii="Calibri" w:hAnsi="Calibri"/>
            <w:color w:val="auto"/>
            <w:sz w:val="22"/>
            <w:szCs w:val="22"/>
            <w:u w:val="none"/>
          </w:rPr>
          <w:t>Doukhobors</w:t>
        </w:r>
        <w:proofErr w:type="spellEnd"/>
      </w:hyperlink>
      <w:r w:rsidRPr="00FE5B95">
        <w:rPr>
          <w:rFonts w:ascii="Calibri" w:hAnsi="Calibri"/>
          <w:sz w:val="22"/>
          <w:szCs w:val="22"/>
        </w:rPr>
        <w:t xml:space="preserve"> from Russia</w:t>
      </w:r>
    </w:p>
    <w:p w:rsidR="00FE5B95" w:rsidRPr="00FE5B95" w:rsidRDefault="00FE5B95" w:rsidP="00FE5B95">
      <w:pPr>
        <w:pStyle w:val="NormalWeb"/>
        <w:numPr>
          <w:ilvl w:val="0"/>
          <w:numId w:val="2"/>
        </w:numPr>
        <w:rPr>
          <w:rFonts w:ascii="Calibri" w:hAnsi="Calibri"/>
          <w:sz w:val="22"/>
          <w:szCs w:val="22"/>
        </w:rPr>
      </w:pPr>
      <w:hyperlink r:id="rId13" w:anchor="mormon" w:history="1">
        <w:r w:rsidRPr="00FE5B95">
          <w:rPr>
            <w:rStyle w:val="Hyperlink"/>
            <w:rFonts w:ascii="Calibri" w:hAnsi="Calibri"/>
            <w:color w:val="auto"/>
            <w:sz w:val="22"/>
            <w:szCs w:val="22"/>
            <w:u w:val="none"/>
          </w:rPr>
          <w:t>Mormons</w:t>
        </w:r>
      </w:hyperlink>
      <w:r w:rsidRPr="00FE5B95">
        <w:rPr>
          <w:rFonts w:ascii="Calibri" w:hAnsi="Calibri"/>
          <w:sz w:val="22"/>
          <w:szCs w:val="22"/>
        </w:rPr>
        <w:t xml:space="preserve"> from the United States</w:t>
      </w:r>
    </w:p>
    <w:p w:rsidR="00FE5B95" w:rsidRPr="00FE5B95" w:rsidRDefault="00FE5B95" w:rsidP="00FE5B95">
      <w:pPr>
        <w:pStyle w:val="NormalWeb"/>
        <w:rPr>
          <w:rFonts w:ascii="Calibri" w:hAnsi="Calibri"/>
          <w:sz w:val="22"/>
          <w:szCs w:val="22"/>
        </w:rPr>
      </w:pPr>
      <w:r w:rsidRPr="00FE5B95">
        <w:rPr>
          <w:rFonts w:ascii="Calibri" w:hAnsi="Calibri"/>
          <w:sz w:val="22"/>
          <w:szCs w:val="22"/>
        </w:rPr>
        <w:t xml:space="preserve">The federal government approved of the entry of these groups because they were adept at farming. </w:t>
      </w:r>
    </w:p>
    <w:p w:rsidR="00FE5B95" w:rsidRDefault="00FE5B95" w:rsidP="00FE5B95">
      <w:pPr>
        <w:spacing w:after="0" w:line="240" w:lineRule="auto"/>
        <w:rPr>
          <w:rFonts w:eastAsia="MS Mincho" w:hint="eastAsia"/>
          <w:sz w:val="24"/>
          <w:szCs w:val="24"/>
          <w:lang w:eastAsia="ja-JP"/>
        </w:rPr>
      </w:pPr>
      <w:r w:rsidRPr="00404F00">
        <w:rPr>
          <w:b/>
          <w:sz w:val="24"/>
          <w:szCs w:val="24"/>
        </w:rPr>
        <w:lastRenderedPageBreak/>
        <w:t>Examine</w:t>
      </w:r>
      <w:r>
        <w:rPr>
          <w:sz w:val="24"/>
          <w:szCs w:val="24"/>
        </w:rPr>
        <w:t xml:space="preserve"> the following posters with a partner and </w:t>
      </w:r>
      <w:r w:rsidRPr="00404F00">
        <w:rPr>
          <w:b/>
          <w:sz w:val="24"/>
          <w:szCs w:val="24"/>
        </w:rPr>
        <w:t>discuss</w:t>
      </w:r>
      <w:r>
        <w:rPr>
          <w:sz w:val="24"/>
          <w:szCs w:val="24"/>
        </w:rPr>
        <w:t xml:space="preserve"> whether this would have been effective at attracting new immigrants to Canada?</w:t>
      </w:r>
    </w:p>
    <w:p w:rsidR="00FE5B95" w:rsidRDefault="00FE5B95" w:rsidP="00FE5B95">
      <w:pPr>
        <w:spacing w:after="0" w:line="240" w:lineRule="auto"/>
        <w:rPr>
          <w:rFonts w:eastAsia="MS Mincho" w:hint="eastAsia"/>
          <w:sz w:val="24"/>
          <w:szCs w:val="24"/>
          <w:lang w:eastAsia="ja-JP"/>
        </w:rPr>
      </w:pPr>
      <w:r>
        <w:rPr>
          <w:rFonts w:eastAsia="MS Mincho" w:hint="eastAsia"/>
          <w:sz w:val="24"/>
          <w:szCs w:val="24"/>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B95" w:rsidRPr="0014538D" w:rsidRDefault="00FE5B95" w:rsidP="00FE5B95">
      <w:pPr>
        <w:spacing w:after="0" w:line="240" w:lineRule="auto"/>
        <w:rPr>
          <w:rFonts w:eastAsia="MS Mincho" w:hint="eastAsia"/>
          <w:sz w:val="24"/>
          <w:szCs w:val="24"/>
          <w:lang w:eastAsia="ja-JP"/>
        </w:rPr>
      </w:pPr>
    </w:p>
    <w:p w:rsidR="00FE5B95" w:rsidRDefault="00FE5B95" w:rsidP="00FE5B95">
      <w:pPr>
        <w:spacing w:after="0" w:line="240" w:lineRule="auto"/>
        <w:rPr>
          <w:sz w:val="24"/>
          <w:szCs w:val="24"/>
        </w:rPr>
      </w:pPr>
      <w:r>
        <w:rPr>
          <w:noProof/>
          <w:sz w:val="24"/>
          <w:szCs w:val="24"/>
          <w:lang w:val="en-CA" w:eastAsia="ja-JP"/>
        </w:rPr>
        <w:drawing>
          <wp:anchor distT="0" distB="0" distL="114300" distR="114300" simplePos="0" relativeHeight="251668480" behindDoc="0" locked="0" layoutInCell="1" allowOverlap="1">
            <wp:simplePos x="0" y="0"/>
            <wp:positionH relativeFrom="column">
              <wp:posOffset>3790950</wp:posOffset>
            </wp:positionH>
            <wp:positionV relativeFrom="paragraph">
              <wp:posOffset>8255</wp:posOffset>
            </wp:positionV>
            <wp:extent cx="2257425" cy="2703830"/>
            <wp:effectExtent l="19050" t="0" r="9525" b="0"/>
            <wp:wrapThrough wrapText="bothSides">
              <wp:wrapPolygon edited="0">
                <wp:start x="-182" y="0"/>
                <wp:lineTo x="-182" y="21458"/>
                <wp:lineTo x="21691" y="21458"/>
                <wp:lineTo x="21691" y="0"/>
                <wp:lineTo x="-182" y="0"/>
              </wp:wrapPolygon>
            </wp:wrapThrough>
            <wp:docPr id="6" name="Picture 7" descr="http://www.collectionscanada.gc.ca/obj/021017/f1/nlc011361-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lectionscanada.gc.ca/obj/021017/f1/nlc011361-v6.jpg"/>
                    <pic:cNvPicPr>
                      <a:picLocks noChangeAspect="1" noChangeArrowheads="1"/>
                    </pic:cNvPicPr>
                  </pic:nvPicPr>
                  <pic:blipFill>
                    <a:blip r:embed="rId14" cstate="print"/>
                    <a:srcRect/>
                    <a:stretch>
                      <a:fillRect/>
                    </a:stretch>
                  </pic:blipFill>
                  <pic:spPr bwMode="auto">
                    <a:xfrm>
                      <a:off x="0" y="0"/>
                      <a:ext cx="2257425" cy="2703830"/>
                    </a:xfrm>
                    <a:prstGeom prst="rect">
                      <a:avLst/>
                    </a:prstGeom>
                    <a:noFill/>
                    <a:ln w="9525">
                      <a:noFill/>
                      <a:miter lim="800000"/>
                      <a:headEnd/>
                      <a:tailEnd/>
                    </a:ln>
                  </pic:spPr>
                </pic:pic>
              </a:graphicData>
            </a:graphic>
          </wp:anchor>
        </w:drawing>
      </w:r>
      <w:r>
        <w:rPr>
          <w:noProof/>
          <w:sz w:val="24"/>
          <w:szCs w:val="24"/>
          <w:lang w:val="en-CA" w:eastAsia="ja-JP"/>
        </w:rPr>
        <w:drawing>
          <wp:anchor distT="0" distB="0" distL="114300" distR="114300" simplePos="0" relativeHeight="251669504" behindDoc="1" locked="0" layoutInCell="1" allowOverlap="1">
            <wp:simplePos x="0" y="0"/>
            <wp:positionH relativeFrom="column">
              <wp:posOffset>971550</wp:posOffset>
            </wp:positionH>
            <wp:positionV relativeFrom="paragraph">
              <wp:posOffset>8255</wp:posOffset>
            </wp:positionV>
            <wp:extent cx="2039620" cy="2703830"/>
            <wp:effectExtent l="19050" t="0" r="0" b="0"/>
            <wp:wrapTight wrapText="bothSides">
              <wp:wrapPolygon edited="0">
                <wp:start x="-202" y="0"/>
                <wp:lineTo x="-202" y="21458"/>
                <wp:lineTo x="21587" y="21458"/>
                <wp:lineTo x="21587" y="0"/>
                <wp:lineTo x="-202" y="0"/>
              </wp:wrapPolygon>
            </wp:wrapTight>
            <wp:docPr id="7" name="Picture 4" descr="http://www.royalalbertamuseum.ca/vexhibit/empress/_images/large/Post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yalalbertamuseum.ca/vexhibit/empress/_images/large/Poster-21.jpg"/>
                    <pic:cNvPicPr>
                      <a:picLocks noChangeAspect="1" noChangeArrowheads="1"/>
                    </pic:cNvPicPr>
                  </pic:nvPicPr>
                  <pic:blipFill>
                    <a:blip r:embed="rId15" cstate="print"/>
                    <a:srcRect/>
                    <a:stretch>
                      <a:fillRect/>
                    </a:stretch>
                  </pic:blipFill>
                  <pic:spPr bwMode="auto">
                    <a:xfrm>
                      <a:off x="0" y="0"/>
                      <a:ext cx="2039620" cy="2703830"/>
                    </a:xfrm>
                    <a:prstGeom prst="rect">
                      <a:avLst/>
                    </a:prstGeom>
                    <a:noFill/>
                    <a:ln w="9525">
                      <a:noFill/>
                      <a:miter lim="800000"/>
                      <a:headEnd/>
                      <a:tailEnd/>
                    </a:ln>
                  </pic:spPr>
                </pic:pic>
              </a:graphicData>
            </a:graphic>
          </wp:anchor>
        </w:drawing>
      </w: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sz w:val="24"/>
          <w:szCs w:val="24"/>
        </w:rPr>
      </w:pPr>
    </w:p>
    <w:p w:rsidR="00FE5B95" w:rsidRDefault="00FE5B95" w:rsidP="00FE5B95">
      <w:pPr>
        <w:spacing w:after="0" w:line="240" w:lineRule="auto"/>
        <w:rPr>
          <w:rFonts w:eastAsia="MS Mincho" w:hint="eastAsia"/>
          <w:sz w:val="24"/>
          <w:szCs w:val="24"/>
          <w:lang w:eastAsia="ja-JP"/>
        </w:rPr>
      </w:pPr>
    </w:p>
    <w:p w:rsidR="00FE5B95" w:rsidRDefault="00FE5B95" w:rsidP="00FE5B95">
      <w:pPr>
        <w:spacing w:after="0" w:line="240" w:lineRule="auto"/>
        <w:rPr>
          <w:rFonts w:eastAsia="MS Mincho" w:hint="eastAsia"/>
          <w:sz w:val="24"/>
          <w:szCs w:val="24"/>
          <w:lang w:eastAsia="ja-JP"/>
        </w:rPr>
      </w:pPr>
    </w:p>
    <w:p w:rsidR="00FE5B95" w:rsidRDefault="00FE5B95" w:rsidP="00FE5B95">
      <w:pPr>
        <w:spacing w:after="0" w:line="240" w:lineRule="auto"/>
        <w:rPr>
          <w:rFonts w:eastAsia="MS Mincho" w:hint="eastAsia"/>
          <w:sz w:val="24"/>
          <w:szCs w:val="24"/>
          <w:lang w:eastAsia="ja-JP"/>
        </w:rPr>
      </w:pPr>
    </w:p>
    <w:p w:rsidR="00FE5B95" w:rsidRDefault="00FE5B95" w:rsidP="00FE5B95">
      <w:pPr>
        <w:spacing w:after="0" w:line="240" w:lineRule="auto"/>
        <w:rPr>
          <w:rFonts w:eastAsia="MS Mincho" w:hint="eastAsia"/>
          <w:sz w:val="24"/>
          <w:szCs w:val="24"/>
          <w:lang w:eastAsia="ja-JP"/>
        </w:rPr>
      </w:pPr>
    </w:p>
    <w:tbl>
      <w:tblPr>
        <w:tblW w:w="570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902"/>
        <w:gridCol w:w="1261"/>
        <w:gridCol w:w="1261"/>
        <w:gridCol w:w="1276"/>
      </w:tblGrid>
      <w:tr w:rsidR="00FE5B95" w:rsidRPr="00867A6A" w:rsidTr="00B0471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center"/>
              <w:rPr>
                <w:rFonts w:ascii="Times New Roman" w:eastAsia="Times New Roman" w:hAnsi="Times New Roman"/>
                <w:sz w:val="24"/>
                <w:szCs w:val="24"/>
                <w:lang w:val="en-CA" w:eastAsia="ja-JP"/>
              </w:rPr>
            </w:pPr>
            <w:r w:rsidRPr="00867A6A">
              <w:rPr>
                <w:rFonts w:ascii="Times New Roman" w:eastAsia="Times New Roman" w:hAnsi="Times New Roman"/>
                <w:b/>
                <w:bCs/>
                <w:sz w:val="24"/>
                <w:szCs w:val="24"/>
                <w:lang w:val="en-CA" w:eastAsia="ja-JP"/>
              </w:rPr>
              <w:t>Net Migration Ratios, by Province</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center"/>
              <w:rPr>
                <w:rFonts w:ascii="Times New Roman" w:eastAsia="Times New Roman" w:hAnsi="Times New Roman"/>
                <w:sz w:val="24"/>
                <w:szCs w:val="24"/>
                <w:lang w:val="en-CA" w:eastAsia="ja-JP"/>
              </w:rPr>
            </w:pPr>
            <w:r w:rsidRPr="00867A6A">
              <w:rPr>
                <w:rFonts w:ascii="Times New Roman" w:eastAsia="Times New Roman" w:hAnsi="Times New Roman"/>
                <w:b/>
                <w:bCs/>
                <w:sz w:val="24"/>
                <w:szCs w:val="24"/>
                <w:lang w:val="en-CA" w:eastAsia="ja-JP"/>
              </w:rPr>
              <w:t>Provinces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center"/>
              <w:rPr>
                <w:rFonts w:ascii="Times New Roman" w:eastAsia="Times New Roman" w:hAnsi="Times New Roman"/>
                <w:sz w:val="24"/>
                <w:szCs w:val="24"/>
                <w:lang w:val="en-CA" w:eastAsia="ja-JP"/>
              </w:rPr>
            </w:pPr>
            <w:r w:rsidRPr="00867A6A">
              <w:rPr>
                <w:rFonts w:ascii="Times New Roman" w:eastAsia="Times New Roman" w:hAnsi="Times New Roman"/>
                <w:b/>
                <w:bCs/>
                <w:sz w:val="24"/>
                <w:szCs w:val="24"/>
                <w:lang w:val="en-CA" w:eastAsia="ja-JP"/>
              </w:rPr>
              <w:t>1901-1911</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center"/>
              <w:rPr>
                <w:rFonts w:ascii="Times New Roman" w:eastAsia="Times New Roman" w:hAnsi="Times New Roman"/>
                <w:sz w:val="24"/>
                <w:szCs w:val="24"/>
                <w:lang w:val="en-CA" w:eastAsia="ja-JP"/>
              </w:rPr>
            </w:pPr>
            <w:r w:rsidRPr="00867A6A">
              <w:rPr>
                <w:rFonts w:ascii="Times New Roman" w:eastAsia="Times New Roman" w:hAnsi="Times New Roman"/>
                <w:b/>
                <w:bCs/>
                <w:sz w:val="24"/>
                <w:szCs w:val="24"/>
                <w:lang w:val="en-CA" w:eastAsia="ja-JP"/>
              </w:rPr>
              <w:t>1911-1921</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center"/>
              <w:rPr>
                <w:rFonts w:ascii="Times New Roman" w:eastAsia="Times New Roman" w:hAnsi="Times New Roman"/>
                <w:sz w:val="24"/>
                <w:szCs w:val="24"/>
                <w:lang w:val="en-CA" w:eastAsia="ja-JP"/>
              </w:rPr>
            </w:pPr>
            <w:r w:rsidRPr="00867A6A">
              <w:rPr>
                <w:rFonts w:ascii="Times New Roman" w:eastAsia="Times New Roman" w:hAnsi="Times New Roman"/>
                <w:b/>
                <w:bCs/>
                <w:sz w:val="24"/>
                <w:szCs w:val="24"/>
                <w:lang w:val="en-CA" w:eastAsia="ja-JP"/>
              </w:rPr>
              <w:t>1921-1931</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PEI</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- 16.4</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- 11.1</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Nova Scotia</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- 0.6</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- 7.6</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- 14.5</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New Brunswick</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- 3.8</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- 7.3</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- 11.5</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Quebec</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- 4.0</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0.9</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Ontario</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5.1</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Manitoba</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41.2</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- 1.7</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Saskatchewan</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125.6</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- 0.7</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Alberta</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123.8</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3.8</w:t>
            </w:r>
          </w:p>
        </w:tc>
      </w:tr>
      <w:tr w:rsidR="00FE5B95" w:rsidRPr="00867A6A" w:rsidTr="00B0471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British Columbia</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FE5B95" w:rsidRPr="00867A6A" w:rsidRDefault="00FE5B95" w:rsidP="00B04715">
            <w:pPr>
              <w:spacing w:after="0" w:line="240" w:lineRule="auto"/>
              <w:jc w:val="right"/>
              <w:rPr>
                <w:rFonts w:ascii="Times New Roman" w:eastAsia="Times New Roman" w:hAnsi="Times New Roman"/>
                <w:sz w:val="24"/>
                <w:szCs w:val="24"/>
                <w:lang w:val="en-CA" w:eastAsia="ja-JP"/>
              </w:rPr>
            </w:pPr>
            <w:r w:rsidRPr="00867A6A">
              <w:rPr>
                <w:rFonts w:ascii="Times New Roman" w:eastAsia="Times New Roman" w:hAnsi="Times New Roman"/>
                <w:sz w:val="24"/>
                <w:szCs w:val="24"/>
                <w:lang w:val="en-CA" w:eastAsia="ja-JP"/>
              </w:rPr>
              <w:t>18.7</w:t>
            </w:r>
          </w:p>
        </w:tc>
      </w:tr>
    </w:tbl>
    <w:p w:rsidR="00FE5B95" w:rsidRPr="00867A6A" w:rsidRDefault="00FE5B95" w:rsidP="00FE5B95">
      <w:pPr>
        <w:spacing w:before="100" w:beforeAutospacing="1" w:after="100" w:afterAutospacing="1" w:line="240" w:lineRule="auto"/>
        <w:jc w:val="center"/>
        <w:rPr>
          <w:rFonts w:eastAsia="MS Mincho" w:hint="eastAsia"/>
          <w:sz w:val="24"/>
          <w:szCs w:val="24"/>
          <w:lang w:eastAsia="ja-JP"/>
        </w:rPr>
      </w:pPr>
      <w:r w:rsidRPr="00867A6A">
        <w:rPr>
          <w:rFonts w:ascii="Times New Roman" w:eastAsia="Times New Roman" w:hAnsi="Times New Roman"/>
          <w:b/>
          <w:bCs/>
          <w:sz w:val="20"/>
          <w:szCs w:val="20"/>
          <w:u w:val="single"/>
          <w:lang w:val="en-CA" w:eastAsia="ja-JP"/>
        </w:rPr>
        <w:t>Source</w:t>
      </w:r>
      <w:r w:rsidRPr="00867A6A">
        <w:rPr>
          <w:rFonts w:ascii="Times New Roman" w:eastAsia="Times New Roman" w:hAnsi="Times New Roman"/>
          <w:b/>
          <w:bCs/>
          <w:sz w:val="20"/>
          <w:szCs w:val="20"/>
          <w:lang w:val="en-CA" w:eastAsia="ja-JP"/>
        </w:rPr>
        <w:t xml:space="preserve">: Leroy O. Stone </w:t>
      </w:r>
      <w:r w:rsidRPr="00867A6A">
        <w:rPr>
          <w:rFonts w:ascii="Times New Roman" w:eastAsia="Times New Roman" w:hAnsi="Times New Roman"/>
          <w:b/>
          <w:bCs/>
          <w:i/>
          <w:iCs/>
          <w:sz w:val="20"/>
          <w:szCs w:val="20"/>
          <w:lang w:val="en-CA" w:eastAsia="ja-JP"/>
        </w:rPr>
        <w:t>Migration in Canada: Regional Aspects</w:t>
      </w:r>
    </w:p>
    <w:p w:rsidR="00FE5B95" w:rsidRDefault="00FE5B95" w:rsidP="00FE5B95">
      <w:pPr>
        <w:spacing w:after="0" w:line="240" w:lineRule="auto"/>
        <w:rPr>
          <w:rFonts w:eastAsia="MS Mincho" w:hint="eastAsia"/>
          <w:sz w:val="24"/>
          <w:szCs w:val="24"/>
          <w:lang w:eastAsia="ja-JP"/>
        </w:rPr>
      </w:pPr>
      <w:r w:rsidRPr="00404F00">
        <w:rPr>
          <w:b/>
          <w:sz w:val="24"/>
          <w:szCs w:val="24"/>
        </w:rPr>
        <w:t>List</w:t>
      </w:r>
      <w:r>
        <w:rPr>
          <w:sz w:val="24"/>
          <w:szCs w:val="24"/>
        </w:rPr>
        <w:t xml:space="preserve"> the top four </w:t>
      </w:r>
      <w:r>
        <w:rPr>
          <w:rFonts w:eastAsia="MS Mincho" w:hint="eastAsia"/>
          <w:sz w:val="24"/>
          <w:szCs w:val="24"/>
          <w:lang w:eastAsia="ja-JP"/>
        </w:rPr>
        <w:t xml:space="preserve">provinces </w:t>
      </w:r>
      <w:r>
        <w:rPr>
          <w:rFonts w:eastAsia="MS Mincho"/>
          <w:sz w:val="24"/>
          <w:szCs w:val="24"/>
          <w:lang w:eastAsia="ja-JP"/>
        </w:rPr>
        <w:t>receiving</w:t>
      </w:r>
      <w:r>
        <w:rPr>
          <w:rFonts w:eastAsia="MS Mincho" w:hint="eastAsia"/>
          <w:sz w:val="24"/>
          <w:szCs w:val="24"/>
          <w:lang w:eastAsia="ja-JP"/>
        </w:rPr>
        <w:t xml:space="preserve"> immigrants between the years 1901-1931. 1</w:t>
      </w:r>
      <w:r>
        <w:rPr>
          <w:sz w:val="24"/>
          <w:szCs w:val="24"/>
        </w:rPr>
        <w:t>____________________2_____________________3_______________________4____________________</w:t>
      </w:r>
    </w:p>
    <w:p w:rsidR="00FE5B95" w:rsidRPr="00FE5B95" w:rsidRDefault="00FE5B95" w:rsidP="00FE5B95">
      <w:pPr>
        <w:spacing w:after="0" w:line="240" w:lineRule="auto"/>
        <w:rPr>
          <w:rFonts w:eastAsia="MS Mincho" w:hint="eastAsia"/>
          <w:sz w:val="24"/>
          <w:szCs w:val="24"/>
          <w:lang w:eastAsia="ja-JP"/>
        </w:rPr>
      </w:pPr>
    </w:p>
    <w:p w:rsidR="004E205D" w:rsidRPr="004E205D" w:rsidRDefault="004E205D" w:rsidP="004E205D">
      <w:pPr>
        <w:pBdr>
          <w:bottom w:val="single" w:sz="4" w:space="1" w:color="auto"/>
        </w:pBdr>
        <w:ind w:left="-90"/>
        <w:rPr>
          <w:rFonts w:ascii="Copperplate Gothic Bold" w:hAnsi="Copperplate Gothic Bold"/>
          <w:sz w:val="44"/>
          <w:szCs w:val="44"/>
        </w:rPr>
      </w:pPr>
      <w:r w:rsidRPr="004E205D">
        <w:rPr>
          <w:rFonts w:ascii="Copperplate Gothic Bold" w:hAnsi="Copperplate Gothic Bold"/>
          <w:sz w:val="44"/>
          <w:szCs w:val="44"/>
        </w:rPr>
        <w:t>Immigration by Source Area</w:t>
      </w:r>
    </w:p>
    <w:p w:rsidR="004E205D" w:rsidRDefault="004E205D" w:rsidP="004E205D">
      <w:pPr>
        <w:ind w:left="-90"/>
      </w:pPr>
    </w:p>
    <w:p w:rsidR="00717819" w:rsidRPr="004E205D" w:rsidRDefault="00376843" w:rsidP="004E205D">
      <w:pPr>
        <w:ind w:left="-90"/>
        <w:rPr>
          <w:rFonts w:ascii="Copperplate Gothic Bold" w:hAnsi="Copperplate Gothic Bold" w:cs="Times New Roman"/>
          <w:sz w:val="28"/>
          <w:szCs w:val="28"/>
        </w:rPr>
      </w:pPr>
      <w:r w:rsidRPr="00376843">
        <w:rPr>
          <w:rFonts w:ascii="Copperplate Gothic Bold" w:hAnsi="Copperplate Gothic Bold"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pt;margin-top:-15pt;width:299.35pt;height:225pt;z-index:251660288" wrapcoords="-45 0 -45 21540 21600 21540 21600 0 -45 0">
            <v:imagedata r:id="rId16" o:title=""/>
            <w10:wrap type="tight"/>
          </v:shape>
          <o:OLEObject Type="Embed" ProgID="PowerPoint.Show.12" ShapeID="_x0000_s1026" DrawAspect="Content" ObjectID="_1363616910" r:id="rId17"/>
        </w:pict>
      </w:r>
      <w:r w:rsidR="004E205D" w:rsidRPr="004E205D">
        <w:rPr>
          <w:rFonts w:ascii="Copperplate Gothic Bold" w:hAnsi="Copperplate Gothic Bold" w:cs="Times New Roman"/>
          <w:sz w:val="28"/>
          <w:szCs w:val="28"/>
        </w:rPr>
        <w:t>These charts show the transformation in Canadian immigration policy. Notice how the source countries of immigrants to Canada changes between 1965 and 1992</w:t>
      </w:r>
    </w:p>
    <w:p w:rsidR="004E205D" w:rsidRDefault="00376843">
      <w:r w:rsidRPr="00376843">
        <w:rPr>
          <w:noProof/>
        </w:rPr>
        <w:pict>
          <v:shape id="_x0000_s1027" type="#_x0000_t75" style="position:absolute;margin-left:-46.6pt;margin-top:74.15pt;width:313.55pt;height:235.65pt;z-index:251662336" wrapcoords="-45 0 -45 21540 21600 21540 21600 0 -45 0">
            <v:imagedata r:id="rId18" o:title=""/>
            <w10:wrap type="tight"/>
          </v:shape>
          <o:OLEObject Type="Embed" ProgID="PowerPoint.Template.12" ShapeID="_x0000_s1027" DrawAspect="Content" ObjectID="_1363616911" r:id="rId19"/>
        </w:pict>
      </w:r>
    </w:p>
    <w:p w:rsidR="004E205D" w:rsidRDefault="004E205D"/>
    <w:p w:rsidR="004E205D" w:rsidRDefault="004E205D"/>
    <w:p w:rsidR="004E205D" w:rsidRDefault="004E205D"/>
    <w:p w:rsidR="004E205D" w:rsidRDefault="00376843">
      <w:r w:rsidRPr="00376843">
        <w:rPr>
          <w:noProof/>
        </w:rPr>
        <w:pict>
          <v:shape id="_x0000_s1029" type="#_x0000_t75" style="position:absolute;margin-left:219pt;margin-top:178.85pt;width:335.8pt;height:252.4pt;z-index:251666432" wrapcoords="-45 0 -45 21540 21600 21540 21600 0 -45 0">
            <v:imagedata r:id="rId20" o:title=""/>
            <w10:wrap type="tight"/>
          </v:shape>
          <o:OLEObject Type="Embed" ProgID="PowerPoint.Template.12" ShapeID="_x0000_s1029" DrawAspect="Content" ObjectID="_1363616912" r:id="rId21"/>
        </w:pict>
      </w:r>
      <w:r w:rsidRPr="00376843">
        <w:rPr>
          <w:noProof/>
        </w:rPr>
        <w:pict>
          <v:shape id="_x0000_s1028" type="#_x0000_t75" style="position:absolute;margin-left:-29.25pt;margin-top:48.05pt;width:300.6pt;height:225.9pt;z-index:251664384" wrapcoords="-45 0 -45 21540 21600 21540 21600 0 -45 0">
            <v:imagedata r:id="rId22" o:title=""/>
            <w10:wrap type="tight"/>
          </v:shape>
          <o:OLEObject Type="Embed" ProgID="PowerPoint.Template.12" ShapeID="_x0000_s1028" DrawAspect="Content" ObjectID="_1363616913" r:id="rId23"/>
        </w:pict>
      </w:r>
    </w:p>
    <w:sectPr w:rsidR="004E205D" w:rsidSect="004E205D">
      <w:pgSz w:w="12240" w:h="15840"/>
      <w:pgMar w:top="630" w:right="810" w:bottom="1440" w:left="81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86E79"/>
    <w:multiLevelType w:val="multilevel"/>
    <w:tmpl w:val="D872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742D69"/>
    <w:multiLevelType w:val="multilevel"/>
    <w:tmpl w:val="273E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E205D"/>
    <w:rsid w:val="00376843"/>
    <w:rsid w:val="004E205D"/>
    <w:rsid w:val="0070431C"/>
    <w:rsid w:val="00717819"/>
    <w:rsid w:val="008A4819"/>
    <w:rsid w:val="009B290C"/>
    <w:rsid w:val="00F869BE"/>
    <w:rsid w:val="00FE5B95"/>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8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B95"/>
    <w:pPr>
      <w:ind w:left="720"/>
      <w:contextualSpacing/>
    </w:pPr>
    <w:rPr>
      <w:rFonts w:ascii="Calibri" w:eastAsia="SimSun" w:hAnsi="Calibri" w:cs="Times New Roman"/>
    </w:rPr>
  </w:style>
  <w:style w:type="paragraph" w:styleId="NormalWeb">
    <w:name w:val="Normal (Web)"/>
    <w:basedOn w:val="Normal"/>
    <w:uiPriority w:val="99"/>
    <w:unhideWhenUsed/>
    <w:rsid w:val="00FE5B95"/>
    <w:pPr>
      <w:spacing w:before="100" w:beforeAutospacing="1" w:after="100" w:afterAutospacing="1" w:line="240" w:lineRule="auto"/>
    </w:pPr>
    <w:rPr>
      <w:rFonts w:ascii="Times New Roman" w:eastAsia="Times New Roman" w:hAnsi="Times New Roman" w:cs="Times New Roman"/>
      <w:sz w:val="24"/>
      <w:szCs w:val="24"/>
      <w:lang w:val="en-CA" w:eastAsia="ja-JP"/>
    </w:rPr>
  </w:style>
  <w:style w:type="character" w:styleId="Hyperlink">
    <w:name w:val="Hyperlink"/>
    <w:basedOn w:val="DefaultParagraphFont"/>
    <w:uiPriority w:val="99"/>
    <w:semiHidden/>
    <w:unhideWhenUsed/>
    <w:rsid w:val="00FE5B95"/>
    <w:rPr>
      <w:color w:val="0000FF"/>
      <w:u w:val="single"/>
    </w:rPr>
  </w:style>
  <w:style w:type="paragraph" w:styleId="BalloonText">
    <w:name w:val="Balloon Text"/>
    <w:basedOn w:val="Normal"/>
    <w:link w:val="BalloonTextChar"/>
    <w:uiPriority w:val="99"/>
    <w:semiHidden/>
    <w:unhideWhenUsed/>
    <w:rsid w:val="00FE5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B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diana.ca/citm/glossaire/glossaire1_e.html" TargetMode="External"/><Relationship Id="rId13" Type="http://schemas.openxmlformats.org/officeDocument/2006/relationships/hyperlink" Target="http://www.canadiana.ca/citm/glossaire/glossaire1_e.html" TargetMode="External"/><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package" Target="embeddings/Microsoft_Office_PowerPoint_2007_Template3.sldx"/><Relationship Id="rId7" Type="http://schemas.openxmlformats.org/officeDocument/2006/relationships/hyperlink" Target="http://www.canadiana.ca/citm/reference/biographies_e.html" TargetMode="External"/><Relationship Id="rId12" Type="http://schemas.openxmlformats.org/officeDocument/2006/relationships/hyperlink" Target="http://www.canadiana.ca/citm/glossaire/glossaire1_e.html" TargetMode="External"/><Relationship Id="rId17" Type="http://schemas.openxmlformats.org/officeDocument/2006/relationships/package" Target="embeddings/Microsoft_Office_PowerPoint_2007_Presentation1.ppt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hyperlink" Target="http://www.canadiana.ca/citm/reference/biographies_e.html" TargetMode="External"/><Relationship Id="rId11" Type="http://schemas.openxmlformats.org/officeDocument/2006/relationships/hyperlink" Target="http://www.canadiana.ca/citm/glossaire/glossaire1_e.html"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package" Target="embeddings/Microsoft_Office_PowerPoint_2007_Template4.sldx"/><Relationship Id="rId10" Type="http://schemas.openxmlformats.org/officeDocument/2006/relationships/hyperlink" Target="http://www.canadiana.ca/citm/glossaire/glossaire1_e.html" TargetMode="External"/><Relationship Id="rId19" Type="http://schemas.openxmlformats.org/officeDocument/2006/relationships/package" Target="embeddings/Microsoft_Office_PowerPoint_2007_Template2.sldx"/><Relationship Id="rId4" Type="http://schemas.openxmlformats.org/officeDocument/2006/relationships/webSettings" Target="webSettings.xml"/><Relationship Id="rId9" Type="http://schemas.openxmlformats.org/officeDocument/2006/relationships/hyperlink" Target="http://www.canadiana.ca/citm/glossaire/glossaire1_e.html" TargetMode="External"/><Relationship Id="rId14" Type="http://schemas.openxmlformats.org/officeDocument/2006/relationships/image" Target="media/image2.jpeg"/><Relationship Id="rId22"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seath</dc:creator>
  <cp:lastModifiedBy>L500-018</cp:lastModifiedBy>
  <cp:revision>4</cp:revision>
  <cp:lastPrinted>2011-04-04T07:24:00Z</cp:lastPrinted>
  <dcterms:created xsi:type="dcterms:W3CDTF">2011-04-04T07:17:00Z</dcterms:created>
  <dcterms:modified xsi:type="dcterms:W3CDTF">2011-04-06T09:42:00Z</dcterms:modified>
</cp:coreProperties>
</file>